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rPr>
          <w:rFonts w:ascii="Arial" w:hAnsi="Arial" w:eastAsia="Arial"/>
          <w:b/>
          <w:i w:val="0"/>
          <w:color w:val="1F2A3C"/>
          <w:sz w:val="48"/>
        </w:rPr>
        <w:t>Cahier des charges</w:t>
      </w:r>
    </w:p>
    <w:p>
      <w:r>
        <w:rPr>
          <w:rFonts w:ascii="Arial" w:hAnsi="Arial" w:eastAsia="Arial"/>
          <w:b/>
          <w:i w:val="0"/>
          <w:color w:val="B41724"/>
          <w:sz w:val="28"/>
        </w:rPr>
        <w:t>Création ou refonte d’un site web</w:t>
      </w:r>
    </w:p>
    <w:p>
      <w:r>
        <w:rPr>
          <w:rFonts w:ascii="Arial" w:hAnsi="Arial" w:eastAsia="Arial"/>
          <w:b w:val="0"/>
          <w:i w:val="0"/>
          <w:color w:val="4A5568"/>
          <w:sz w:val="20"/>
        </w:rPr>
        <w:t>Modèle à remplir, version du 8 novembre 2026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412"/>
            <w:shd w:val="clear" w:color="auto" w:fill="F3F5F8"/>
          </w:tcPr>
          <w:p>
            <w:r/>
            <w:r>
              <w:rPr>
                <w:rFonts w:ascii="Arial" w:hAnsi="Arial" w:eastAsia="Arial"/>
                <w:b/>
                <w:i w:val="0"/>
                <w:color w:val="1F2A3C"/>
                <w:sz w:val="21"/>
              </w:rPr>
              <w:t>À lire avant de remplir</w:t>
            </w:r>
          </w:p>
          <w:p>
            <w:pPr>
              <w:pStyle w:val="ListBullet"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Ce document est un modèle indicatif. Adaptez-le à votre projet : supprimez les sections qui ne vous concernent pas, ajoutez celles qui manquent.</w:t>
            </w:r>
          </w:p>
          <w:p>
            <w:pPr>
              <w:pStyle w:val="ListBullet"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Il décrit un besoin ; il ne remplace pas un contrat. La partie contractuelle (propriété, remise des accès, données personnelles, délais, pénalités) est à faire relire par un juriste ou un avocat avant signature.</w:t>
            </w:r>
          </w:p>
          <w:p>
            <w:pPr>
              <w:pStyle w:val="ListBullet"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Réutilisation libre : vous pouvez copier, modifier, diffuser et réutiliser ce modèle, y compris pour un usage commercial, sans autorisation à demander ni mention à faire.</w:t>
            </w:r>
          </w:p>
          <w:p>
            <w:pPr>
              <w:pStyle w:val="ListBullet"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Les consignes en italique sont à remplacer par votre texte, puis à effacer.</w:t>
            </w:r>
          </w:p>
          <w:p>
            <w:pPr>
              <w:pStyle w:val="ListBullet"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 xml:space="preserve">Explications et sources : </w:t>
            </w:r>
            <w:hyperlink r:id="rId10">
              <w:r>
                <w:rPr>
                  <w:rFonts w:ascii="Arial" w:hAnsi="Arial" w:eastAsia="Arial"/>
                  <w:b w:val="0"/>
                  <w:i w:val="0"/>
                  <w:color w:val="B41724"/>
                  <w:sz w:val="19"/>
                  <w:u w:val="single"/>
                </w:rPr>
                <w:t>https://www.novahoster.tn/blog/cahier-des-charges-site-web-modele/</w:t>
              </w:r>
            </w:hyperlink>
          </w:p>
        </w:tc>
      </w:tr>
    </w:tbl>
    <w:p/>
    <w:p>
      <w:pPr>
        <w:pStyle w:val="Heading1"/>
      </w:pPr>
      <w:r>
        <w:t>Fiche du projet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706"/>
        <w:gridCol w:w="4706"/>
      </w:tblGrid>
      <w:tr>
        <w:trPr>
          <w:cantSplit/>
        </w:trPr>
        <w:tc>
          <w:tcPr>
            <w:tcW w:type="dxa" w:w="4706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Rubrique</w:t>
            </w:r>
          </w:p>
        </w:tc>
        <w:tc>
          <w:tcPr>
            <w:tcW w:type="dxa" w:w="4706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À remplir</w:t>
            </w:r>
          </w:p>
        </w:tc>
      </w:tr>
      <w:tr>
        <w:trPr>
          <w:cantSplit/>
        </w:trPr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Organisme</w:t>
            </w:r>
          </w:p>
        </w:tc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Responsable du projet (fonction)</w:t>
            </w:r>
          </w:p>
        </w:tc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Contact pour les questions des candidats</w:t>
            </w:r>
          </w:p>
        </w:tc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Nature du projet</w:t>
            </w:r>
          </w:p>
        </w:tc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Création / refonte d’un site existant</w:t>
            </w:r>
          </w:p>
        </w:tc>
      </w:tr>
      <w:tr>
        <w:trPr>
          <w:cantSplit/>
        </w:trPr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Version et date de ce document</w:t>
            </w:r>
          </w:p>
        </w:tc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Date limite de remise des offres</w:t>
            </w:r>
          </w:p>
        </w:tc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Mode et adresse de remise des offres</w:t>
            </w:r>
          </w:p>
        </w:tc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Durée de validité des offres</w:t>
            </w:r>
          </w:p>
        </w:tc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4706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Mise en ligne souhaitée</w:t>
            </w:r>
          </w:p>
        </w:tc>
        <w:tc>
          <w:tcPr>
            <w:tcW w:type="dxa" w:w="4706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</w:tbl>
    <w:p/>
    <w:p>
      <w:pPr>
        <w:pStyle w:val="Heading1"/>
      </w:pPr>
      <w:r>
        <w:t>1. Contexte</w:t>
      </w:r>
    </w:p>
    <w:p>
      <w:r>
        <w:rPr>
          <w:rFonts w:ascii="Arial" w:hAnsi="Arial" w:eastAsia="Arial"/>
          <w:b w:val="0"/>
          <w:i/>
          <w:color w:val="4A5568"/>
        </w:rPr>
        <w:t>Présentez l’organisme en quelques lignes : activité, taille, implantation, clients ou usagers. Expliquez pourquoi le site est commandé maintenant : création, site actuel vieilli, nouveau service, changement de marque.</w:t>
      </w:r>
    </w:p>
    <w:p>
      <w:pPr>
        <w:pStyle w:val="Heading1"/>
      </w:pPr>
      <w:r>
        <w:t>2. Objectifs</w:t>
      </w:r>
    </w:p>
    <w:p>
      <w:r>
        <w:rPr>
          <w:rFonts w:ascii="Arial" w:hAnsi="Arial" w:eastAsia="Arial"/>
          <w:b w:val="0"/>
          <w:i/>
          <w:color w:val="4A5568"/>
        </w:rPr>
        <w:t>Trois à cinq objectifs, chacun vérifiable après la mise en ligne. Exemple : « recevoir les demandes de devis par formulaire plutôt que par téléphone », « permettre la prise de rendez-vous en ligne », « publier nos actualités sans passer par le prestataire ».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706"/>
        <w:gridCol w:w="4706"/>
      </w:tblGrid>
      <w:tr>
        <w:trPr>
          <w:cantSplit/>
        </w:trPr>
        <w:tc>
          <w:tcPr>
            <w:tcW w:type="dxa" w:w="4706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Objectif</w:t>
            </w:r>
          </w:p>
        </w:tc>
        <w:tc>
          <w:tcPr>
            <w:tcW w:type="dxa" w:w="4706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Comment saurons-nous qu’il est atteint ?</w:t>
            </w:r>
          </w:p>
        </w:tc>
      </w:tr>
      <w:tr>
        <w:trPr>
          <w:cantSplit/>
        </w:trPr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4706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4706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</w:tbl>
    <w:p/>
    <w:p>
      <w:pPr>
        <w:pStyle w:val="Heading1"/>
      </w:pPr>
      <w:r>
        <w:t>3. Publics visés</w:t>
      </w:r>
    </w:p>
    <w:p>
      <w:r>
        <w:rPr>
          <w:rFonts w:ascii="Arial" w:hAnsi="Arial" w:eastAsia="Arial"/>
          <w:b w:val="0"/>
          <w:i/>
          <w:color w:val="4A5568"/>
        </w:rPr>
        <w:t>Qui viendra sur le site, ce que chacun y cherche, depuis quel appareil (téléphone, ordinateur) et dans quelle langue.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rPr>
          <w:cantSplit/>
        </w:trPr>
        <w:tc>
          <w:tcPr>
            <w:tcW w:type="dxa" w:w="3137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Public</w:t>
            </w:r>
          </w:p>
        </w:tc>
        <w:tc>
          <w:tcPr>
            <w:tcW w:type="dxa" w:w="3137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Ce qu’il vient chercher</w:t>
            </w:r>
          </w:p>
        </w:tc>
        <w:tc>
          <w:tcPr>
            <w:tcW w:type="dxa" w:w="3137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Langue</w:t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</w:tbl>
    <w:p/>
    <w:p>
      <w:pPr>
        <w:pStyle w:val="Heading1"/>
      </w:pPr>
      <w:r>
        <w:t>4. Existant (refonte seulement)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Adresse du site actuel :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Outil de gestion du site (CMS, par exemple WordPress) utilisé :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Hébergeur et titulaire du compte d’hébergement :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Titulaire du nom de domaine :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Pages et contenus à reprendre, à réécrire, à supprimer :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Adresses à rediriger vers les nouvelles pages (redirections permanentes) :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Statistiques de fréquentation disponibles :</w:t>
      </w:r>
    </w:p>
    <w:p>
      <w:pPr>
        <w:pStyle w:val="Heading1"/>
      </w:pPr>
      <w:r>
        <w:t>5. Arborescence</w:t>
      </w:r>
    </w:p>
    <w:p>
      <w:r>
        <w:rPr>
          <w:rFonts w:ascii="Arial" w:hAnsi="Arial" w:eastAsia="Arial"/>
          <w:b w:val="0"/>
          <w:i/>
          <w:color w:val="4A5568"/>
        </w:rPr>
        <w:t>La liste des pages prévues, avec leur contenu et la personne qui le fournit. Le prestataire peut proposer une autre organisation : dites si vous l’acceptez.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rPr>
          <w:cantSplit/>
        </w:trPr>
        <w:tc>
          <w:tcPr>
            <w:tcW w:type="dxa" w:w="3137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Page</w:t>
            </w:r>
          </w:p>
        </w:tc>
        <w:tc>
          <w:tcPr>
            <w:tcW w:type="dxa" w:w="3137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Contenu attendu</w:t>
            </w:r>
          </w:p>
        </w:tc>
        <w:tc>
          <w:tcPr>
            <w:tcW w:type="dxa" w:w="3137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Fourni par</w:t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Accueil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Contact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Mentions légales et politique de confidentialité</w:t>
            </w:r>
          </w:p>
        </w:tc>
        <w:tc>
          <w:tcPr>
            <w:tcW w:type="dxa" w:w="3137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</w:tbl>
    <w:p/>
    <w:p>
      <w:pPr>
        <w:pStyle w:val="Heading1"/>
      </w:pPr>
      <w:r>
        <w:t>6. Fonctionnalités</w:t>
      </w:r>
    </w:p>
    <w:p>
      <w:r>
        <w:rPr>
          <w:rFonts w:ascii="Arial" w:hAnsi="Arial" w:eastAsia="Arial"/>
          <w:b w:val="0"/>
          <w:i/>
          <w:color w:val="4A5568"/>
        </w:rPr>
        <w:t>Classez chaque fonction : indispensable (sans elle, le site ne sert pas), souhaitable (chiffrée à part, retenue si le budget le permet), ou option (le candidat peut la proposer, sans obligation). Rayez ce qui ne vous concerne pas.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rPr>
          <w:cantSplit/>
        </w:trPr>
        <w:tc>
          <w:tcPr>
            <w:tcW w:type="dxa" w:w="3137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Fonction</w:t>
            </w:r>
          </w:p>
        </w:tc>
        <w:tc>
          <w:tcPr>
            <w:tcW w:type="dxa" w:w="3137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Priorité</w:t>
            </w:r>
          </w:p>
        </w:tc>
        <w:tc>
          <w:tcPr>
            <w:tcW w:type="dxa" w:w="3137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Précisions</w:t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Formulaire de contact ou de demande de devis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Prise de rendez-vous ou réservation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Actualités ou blog, publiés par nos soins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Catalogue de produits ou de services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Paiement en ligne (préciser la solution envisagée)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Espace réservé (membres, clients, adhérents)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Recherche dans le site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Inscription à une lettre d’information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Version dans une seconde langue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Liaison avec un outil existant (gestion, facturation, CRM)</w:t>
            </w:r>
          </w:p>
        </w:tc>
        <w:tc>
          <w:tcPr>
            <w:tcW w:type="dxa" w:w="3137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</w:tbl>
    <w:p/>
    <w:p>
      <w:pPr>
        <w:pStyle w:val="Heading1"/>
      </w:pPr>
      <w:r>
        <w:t>7. Contenus</w:t>
      </w:r>
    </w:p>
    <w:p>
      <w:r>
        <w:rPr>
          <w:rFonts w:ascii="Arial" w:hAnsi="Arial" w:eastAsia="Arial"/>
          <w:b w:val="0"/>
          <w:i/>
          <w:color w:val="4A5568"/>
        </w:rPr>
        <w:t>Le retard le plus fréquent d’un projet de site vient des contenus, pas de la technique. Écrivez qui fournit quoi, et pour quelle date.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rPr>
          <w:cantSplit/>
        </w:trPr>
        <w:tc>
          <w:tcPr>
            <w:tcW w:type="dxa" w:w="3137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Contenu</w:t>
            </w:r>
          </w:p>
        </w:tc>
        <w:tc>
          <w:tcPr>
            <w:tcW w:type="dxa" w:w="3137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Fourni par (nous / prestataire)</w:t>
            </w:r>
          </w:p>
        </w:tc>
        <w:tc>
          <w:tcPr>
            <w:tcW w:type="dxa" w:w="3137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Date de remise</w:t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Textes des pages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Photos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Logo et éléments graphiques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Traductions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Vidéos, documents à télécharger</w:t>
            </w:r>
          </w:p>
        </w:tc>
        <w:tc>
          <w:tcPr>
            <w:tcW w:type="dxa" w:w="3137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</w:tbl>
    <w:p/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Les photos et illustrations fournies par le prestataire sont libres de droits pour notre usage, et leur source est indiquée à la livraison.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La saisie des contenus dans le site est comprise / n’est pas comprise.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Nombre de pages rédigées par le prestataire, si la rédaction est demandée :</w:t>
      </w:r>
    </w:p>
    <w:p>
      <w:pPr>
        <w:pStyle w:val="Heading1"/>
      </w:pPr>
      <w:r>
        <w:t>8. Langues</w:t>
      </w:r>
    </w:p>
    <w:p>
      <w:r>
        <w:rPr>
          <w:rFonts w:ascii="Arial" w:hAnsi="Arial" w:eastAsia="Arial"/>
          <w:b w:val="0"/>
          <w:i/>
          <w:color w:val="4A5568"/>
        </w:rPr>
        <w:t>Décidez avant la maquette : français seul, français et arabe, avec ou sans anglais. Précisez si chaque langue a toutes les pages ou seulement une partie.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Langues du site :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Toutes les pages dans chaque langue / seulement les pages suivantes :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Qui traduit et qui relit :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Arabe : mise en page de droite à gauche, police adaptée à l’écriture arabe, menus et formulaires retournés, chiffres et dates vérifiés.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Chaque page déclare sa langue (et chaque passage dans une autre langue) dans son code, pour les lecteurs d’écran et les moteurs de recherche.</w:t>
      </w:r>
    </w:p>
    <w:p>
      <w:pPr>
        <w:pStyle w:val="Heading1"/>
      </w:pPr>
      <w:r>
        <w:t>9. Identité visuelle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Charte graphique existante : oui / non (joindre en annexe)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Logo fourni en format vectoriel : oui / non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Sites que nous aimons, et pourquoi :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Sites auxquels nous ne voulons pas ressembler, et pourquoi :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Nombre de propositions de maquette attendues et d’allers-retours compris :</w:t>
      </w:r>
    </w:p>
    <w:p>
      <w:pPr>
        <w:pStyle w:val="Heading1"/>
      </w:pPr>
      <w:r>
        <w:t>10. Contraintes techniques et d’exploitation</w:t>
      </w:r>
    </w:p>
    <w:p>
      <w:pPr>
        <w:pStyle w:val="Heading2"/>
      </w:pPr>
      <w:r>
        <w:t>10.1 Nom de domaine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Le nom de domaine est enregistré au nom de l’organisme, qui en est le titulaire.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Le contact administratif est l’organisme (ou une personne qu’il mandate) ; le prestataire peut être contact technique.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Pour un nom en .tn, l’organisme fournit les pièces que demande le bureau d’enregistrement (registre de commerce, carte d’identité nationale…).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Domaine existant : nom, extension, date d’échéance, titulaire actuel :</w:t>
      </w:r>
    </w:p>
    <w:p>
      <w:pPr>
        <w:pStyle w:val="Heading2"/>
      </w:pPr>
      <w:r>
        <w:t>10.2 Hébergement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Le compte d’hébergement est ouvert au nom de l’organisme / fourni par le prestataire (préciser alors les conditions de transfert au client).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Les identifiants du panneau d’hébergement sont remis à l’organisme.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Lieu d’hébergement des données, si l’organisme a une contrainte :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Sauvegardes : qui les fait, où elles sont gardées, combien de temps, et un essai de restauration avant la mise en ligne.</w:t>
      </w:r>
    </w:p>
    <w:p>
      <w:pPr>
        <w:pStyle w:val="Heading2"/>
      </w:pPr>
      <w:r>
        <w:t>10.3 Comptes et accès remis à la livraison</w:t>
      </w:r>
    </w:p>
    <w:p>
      <w:r>
        <w:rPr>
          <w:rFonts w:ascii="Arial" w:hAnsi="Arial" w:eastAsia="Arial"/>
          <w:b w:val="0"/>
          <w:i w:val="0"/>
          <w:color w:val="1F2A3C"/>
        </w:rPr>
        <w:t>Chaque compte est au nom de l’organisme. Le prestataire travaille avec un accès qui lui est propre, retiré à la fin de sa mission.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rPr>
          <w:cantSplit/>
        </w:trPr>
        <w:tc>
          <w:tcPr>
            <w:tcW w:type="dxa" w:w="3137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Compte</w:t>
            </w:r>
          </w:p>
        </w:tc>
        <w:tc>
          <w:tcPr>
            <w:tcW w:type="dxa" w:w="3137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Au nom de</w:t>
            </w:r>
          </w:p>
        </w:tc>
        <w:tc>
          <w:tcPr>
            <w:tcW w:type="dxa" w:w="3137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Remis le</w:t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Administration du site (CMS)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Panneau d’hébergement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Zone DNS du domaine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Base de données, FTP ou SSH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Adresses e-mail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Outils de statistiques et de suivi du référencement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Licences de thèmes, extensions, polices, photos</w:t>
            </w:r>
          </w:p>
        </w:tc>
        <w:tc>
          <w:tcPr>
            <w:tcW w:type="dxa" w:w="3137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</w:tbl>
    <w:p/>
    <w:p>
      <w:pPr>
        <w:pStyle w:val="Heading2"/>
      </w:pPr>
      <w:r>
        <w:t>10.4 Propriété du code et des contenus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Les droits sur le code écrit pour le projet, les maquettes et les contenus créés sont cédés à l’organisme (étendue et durée à rédiger avec un juriste).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Le code source complet est remis à la livraison, ou l’accès à l’outil où il est conservé et suivi (dépôt Git, par exemple).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Les composants de tiers (thème, extensions, bibliothèques) sont listés avec leur licence ; les licences payantes sont achetées au nom de l’organisme.</w:t>
      </w:r>
    </w:p>
    <w:p>
      <w:pPr>
        <w:pStyle w:val="Heading2"/>
      </w:pPr>
      <w:r>
        <w:t>10.5 Technologie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Outil ou CMS souhaité, ou laissé au choix du prestataire avec justification :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Le site fonctionne sur une version de PHP encore maintenue au jour de la livraison (ou autre langage : préciser la version et sa fin de support).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Affichage vérifié sur téléphone, tablette et ordinateur, sur les navigateurs courants.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Le site est servi en HTTPS.</w:t>
      </w:r>
    </w:p>
    <w:p>
      <w:pPr>
        <w:pStyle w:val="Heading2"/>
      </w:pPr>
      <w:r>
        <w:t>10.6 Sécurité et maintenance après la mise en ligne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Durée et contenu de la garantie après livraison (corrections de défauts) :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La maintenance (mises à jour, correctifs de sécurité, sauvegardes, surveillance) fait l’objet d’une offre séparée / n’est pas demandée.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Délai d’application d’une correction de sécurité critique, si la maintenance est demandée :</w:t>
      </w:r>
    </w:p>
    <w:p>
      <w:pPr>
        <w:pStyle w:val="Heading2"/>
      </w:pPr>
      <w:r>
        <w:t>10.7 Accessibilité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Niveau visé : WCAG 2.2, niveau AA (W3C).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Le prestataire indique comment il le vérifie, et la recette en contrôle un échantillon : navigation au clavier, contrastes, textes alternatifs des images, champs de formulaire étiquetés, taille des zones cliquables.</w:t>
      </w:r>
    </w:p>
    <w:p>
      <w:pPr>
        <w:pStyle w:val="Heading2"/>
      </w:pPr>
      <w:r>
        <w:t>10.8 Données personnelles</w:t>
      </w:r>
    </w:p>
    <w:p>
      <w:r>
        <w:rPr>
          <w:rFonts w:ascii="Arial" w:hAnsi="Arial" w:eastAsia="Arial"/>
          <w:b w:val="0"/>
          <w:i w:val="0"/>
          <w:color w:val="1F2A3C"/>
        </w:rPr>
        <w:t>Loi organique n° 2004-63 du 27 juillet 2004. L’organisme est responsable du traitement ; le prestataire qui accède aux données le fait pour son compte.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rPr>
          <w:cantSplit/>
        </w:trPr>
        <w:tc>
          <w:tcPr>
            <w:tcW w:type="dxa" w:w="3137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Formulaire ou outil</w:t>
            </w:r>
          </w:p>
        </w:tc>
        <w:tc>
          <w:tcPr>
            <w:tcW w:type="dxa" w:w="3137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Données collectées</w:t>
            </w:r>
          </w:p>
        </w:tc>
        <w:tc>
          <w:tcPr>
            <w:tcW w:type="dxa" w:w="3137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Durée de conservation</w:t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</w:tbl>
    <w:p/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Déclaration préalable du traitement auprès de l’INPDP : faite par l’organisme (article 7 de la loi).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Consentement recueilli là où la loi le demande (article 27).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Mesures de sécurité prévues (article 18) :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Données hébergées ou outils situés hors de Tunisie : le transfert à l’étranger est soumis à l’autorisation de l’INPDP (article 52). Liste des outils concernés :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Politique de confidentialité rédigée par : nous / le prestataire (à faire relire).</w:t>
      </w:r>
    </w:p>
    <w:p>
      <w:pPr>
        <w:pStyle w:val="Heading2"/>
      </w:pPr>
      <w:r>
        <w:t>10.9 Référencement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Titre et description propres à chaque page.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Plan du site (sitemap) et redirections des anciennes adresses (refonte).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Outils de suivi installés au nom de l’organisme.</w:t>
      </w:r>
    </w:p>
    <w:p>
      <w:pPr>
        <w:pStyle w:val="Heading2"/>
      </w:pPr>
      <w:r>
        <w:t>10.10 Organismes publics</w:t>
      </w:r>
    </w:p>
    <w:p>
      <w:r>
        <w:rPr>
          <w:rFonts w:ascii="Arial" w:hAnsi="Arial" w:eastAsia="Arial"/>
          <w:b w:val="0"/>
          <w:i/>
          <w:color w:val="4A5568"/>
        </w:rPr>
        <w:t>Section à garder si l’acheteur est un ministère, une collectivité locale, un établissement ou une entreprise publics.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Procédure de passation et référence du marché sur TUNEPS :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Textes que l’acheteur applique à l’hébergement et à la sécurité de ses sites (à nommer par l’acheteur, avec leur date) :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Méthode d’évaluation des offres (moins-disant conforme, ou pondération entre qualité et coût) :</w:t>
      </w:r>
    </w:p>
    <w:p>
      <w:pPr>
        <w:pStyle w:val="Heading1"/>
      </w:pPr>
      <w:r>
        <w:t>11. Planning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rPr>
          <w:cantSplit/>
        </w:trPr>
        <w:tc>
          <w:tcPr>
            <w:tcW w:type="dxa" w:w="3137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Étape</w:t>
            </w:r>
          </w:p>
        </w:tc>
        <w:tc>
          <w:tcPr>
            <w:tcW w:type="dxa" w:w="3137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Date souhaitée</w:t>
            </w:r>
          </w:p>
        </w:tc>
        <w:tc>
          <w:tcPr>
            <w:tcW w:type="dxa" w:w="3137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Validée par</w:t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Choix du prestataire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Atelier de lancement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Maquettes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Remise des contenus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Site sur une adresse de test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Recette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Mise en ligne</w:t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3137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Fin de la garantie</w:t>
            </w:r>
          </w:p>
        </w:tc>
        <w:tc>
          <w:tcPr>
            <w:tcW w:type="dxa" w:w="3137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  <w:tc>
          <w:tcPr>
            <w:tcW w:type="dxa" w:w="3137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</w:tbl>
    <w:p/>
    <w:p>
      <w:pPr>
        <w:pStyle w:val="Heading1"/>
      </w:pPr>
      <w:r>
        <w:t>12. Recette</w:t>
      </w:r>
    </w:p>
    <w:p>
      <w:r>
        <w:rPr>
          <w:rFonts w:ascii="Arial" w:hAnsi="Arial" w:eastAsia="Arial"/>
          <w:b w:val="0"/>
          <w:i w:val="0"/>
          <w:color w:val="1F2A3C"/>
        </w:rPr>
        <w:t>La recette est la vérification, par l’organisme, que le site livré correspond à ce document. Elle se fait sur une adresse de test, avant la mise en ligne.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Durée de la recette :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Liste des points vérifiés (fonctions, contenus, langues, affichage sur téléphone, formulaires reçus, accessibilité, vitesse) :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Classement des défauts : bloquant (empêche la mise en ligne), majeur, mineur.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Délai de correction par le prestataire, pour chaque niveau : bloquant ___ ; majeur ___ ; mineur ___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Procès-verbal de recette signé, avec ou sans réserves.</w:t>
      </w:r>
    </w:p>
    <w:p>
      <w:pPr>
        <w:pStyle w:val="Heading1"/>
      </w:pPr>
      <w:r>
        <w:t>13. Livrables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Le site en ligne, sur le domaine de l’organisme.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Le code source et une sauvegarde complète (fichiers et base de données).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La liste des comptes et accès (section 10.3), remis à l’organisme.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La liste des composants de tiers et de leurs licences.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Un guide d’utilisation pour publier et modifier les contenus, et une formation de :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Les sources des maquettes et des éléments graphiques.</w:t>
      </w:r>
    </w:p>
    <w:p>
      <w:pPr>
        <w:pStyle w:val="Heading1"/>
      </w:pPr>
      <w:r>
        <w:t>14. Budget</w:t>
      </w:r>
    </w:p>
    <w:p>
      <w:r>
        <w:rPr>
          <w:rFonts w:ascii="Arial" w:hAnsi="Arial" w:eastAsia="Arial"/>
          <w:b w:val="0"/>
          <w:i/>
          <w:color w:val="4A5568"/>
        </w:rPr>
        <w:t>Indiquez une enveloppe si vous en avez une : les candidats proposent alors ce qui y tient, plutôt que des offres impossibles à comparer. Demandez une décomposition.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706"/>
        <w:gridCol w:w="4706"/>
      </w:tblGrid>
      <w:tr>
        <w:trPr>
          <w:cantSplit/>
        </w:trPr>
        <w:tc>
          <w:tcPr>
            <w:tcW w:type="dxa" w:w="4706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Poste</w:t>
            </w:r>
          </w:p>
        </w:tc>
        <w:tc>
          <w:tcPr>
            <w:tcW w:type="dxa" w:w="4706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Montant proposé par le candidat</w:t>
            </w:r>
          </w:p>
        </w:tc>
      </w:tr>
      <w:tr>
        <w:trPr>
          <w:cantSplit/>
        </w:trPr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Conception et développement</w:t>
            </w:r>
          </w:p>
        </w:tc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Rédaction, photos, traductions</w:t>
            </w:r>
          </w:p>
        </w:tc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Licences (thème, extensions, polices)</w:t>
            </w:r>
          </w:p>
        </w:tc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Nom de domaine et hébergement, par an</w:t>
            </w:r>
          </w:p>
        </w:tc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Maintenance après la garantie, par an (offre séparée)</w:t>
            </w:r>
          </w:p>
        </w:tc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4706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Options chiffrées à part</w:t>
            </w:r>
          </w:p>
        </w:tc>
        <w:tc>
          <w:tcPr>
            <w:tcW w:type="dxa" w:w="4706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</w:tbl>
    <w:p/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Échéancier de paiement proposé :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Prix fermes pendant :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Montants indiqués hors taxes, TVA indiquée à part</w:t>
      </w:r>
    </w:p>
    <w:p>
      <w:pPr>
        <w:pStyle w:val="Heading1"/>
      </w:pPr>
      <w:r>
        <w:t>15. Contenu des offres et critères de choix</w:t>
      </w:r>
    </w:p>
    <w:p>
      <w:r>
        <w:rPr>
          <w:rFonts w:ascii="Arial" w:hAnsi="Arial" w:eastAsia="Arial"/>
          <w:b w:val="0"/>
          <w:i/>
          <w:color w:val="4A5568"/>
        </w:rPr>
        <w:t>Ce que chaque candidat doit remettre, et comment les offres seront comparées. Fixez la pondération avant de recevoir les offres.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Compréhension du besoin et méthode proposée.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Références de sites comparables, en ligne.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Équipe affectée au projet.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Planning détaillé.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Offre financière décomposée selon la section 14.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Réponses écrites sur les sections 10.1 à 10.8.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706"/>
        <w:gridCol w:w="4706"/>
      </w:tblGrid>
      <w:tr>
        <w:trPr>
          <w:cantSplit/>
        </w:trPr>
        <w:tc>
          <w:tcPr>
            <w:tcW w:type="dxa" w:w="4706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Critère</w:t>
            </w:r>
          </w:p>
        </w:tc>
        <w:tc>
          <w:tcPr>
            <w:tcW w:type="dxa" w:w="4706"/>
            <w:shd w:val="clear" w:color="auto" w:fill="E8ECF2"/>
          </w:tcPr>
          <w:p>
            <w:pPr>
              <w:keepNext/>
            </w:pPr>
            <w:r>
              <w:rPr>
                <w:rFonts w:ascii="Arial" w:hAnsi="Arial" w:eastAsia="Arial"/>
                <w:b/>
                <w:i w:val="0"/>
                <w:color w:val="1F2A3C"/>
                <w:sz w:val="19"/>
              </w:rPr>
              <w:t>Pondération</w:t>
            </w:r>
          </w:p>
        </w:tc>
      </w:tr>
      <w:tr>
        <w:trPr>
          <w:cantSplit/>
        </w:trPr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Qualité de la réponse au besoin</w:t>
            </w:r>
          </w:p>
        </w:tc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Références et équipe</w:t>
            </w:r>
          </w:p>
        </w:tc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Planning</w:t>
            </w:r>
          </w:p>
        </w:tc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Prix</w:t>
            </w:r>
          </w:p>
        </w:tc>
        <w:tc>
          <w:tcPr>
            <w:tcW w:type="dxa" w:w="4706"/>
          </w:tcPr>
          <w:p>
            <w:pPr>
              <w:keepNext/>
            </w:pPr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  <w:tr>
        <w:trPr>
          <w:cantSplit/>
        </w:trPr>
        <w:tc>
          <w:tcPr>
            <w:tcW w:type="dxa" w:w="4706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  <w:t>Engagements sur les sections 10.1 à 10.8</w:t>
            </w:r>
          </w:p>
        </w:tc>
        <w:tc>
          <w:tcPr>
            <w:tcW w:type="dxa" w:w="4706"/>
          </w:tcPr>
          <w:p>
            <w:r>
              <w:rPr>
                <w:rFonts w:ascii="Arial" w:hAnsi="Arial" w:eastAsia="Arial"/>
                <w:b w:val="0"/>
                <w:i w:val="0"/>
                <w:color w:val="1F2A3C"/>
                <w:sz w:val="19"/>
              </w:rPr>
            </w:r>
          </w:p>
        </w:tc>
      </w:tr>
    </w:tbl>
    <w:p/>
    <w:p>
      <w:r>
        <w:rPr>
          <w:rFonts w:ascii="Arial" w:hAnsi="Arial" w:eastAsia="Arial"/>
          <w:b w:val="0"/>
          <w:i w:val="0"/>
          <w:color w:val="1F2A3C"/>
        </w:rPr>
        <w:t>Acheteur public : la méthode d’évaluation est celle de la section 10.10, fixée par la réglementation des marchés publics.</w:t>
      </w:r>
    </w:p>
    <w:p>
      <w:pPr>
        <w:pStyle w:val="Heading1"/>
      </w:pPr>
      <w:r>
        <w:t>16. Annexes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Charte graphique et logo.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Exemples de contenus.</w:t>
      </w:r>
    </w:p>
    <w:p>
      <w:pPr>
        <w:pStyle w:val="ListBullet"/>
        <w:keepNext/>
      </w:pPr>
      <w:r>
        <w:rPr>
          <w:rFonts w:ascii="Arial" w:hAnsi="Arial" w:eastAsia="Arial"/>
          <w:b w:val="0"/>
          <w:i w:val="0"/>
          <w:color w:val="1F2A3C"/>
        </w:rPr>
        <w:t>Liste des adresses du site actuel.</w:t>
      </w:r>
    </w:p>
    <w:p>
      <w:pPr>
        <w:pStyle w:val="ListBullet"/>
      </w:pPr>
      <w:r>
        <w:rPr>
          <w:rFonts w:ascii="Arial" w:hAnsi="Arial" w:eastAsia="Arial"/>
          <w:b w:val="0"/>
          <w:i w:val="0"/>
          <w:color w:val="1F2A3C"/>
        </w:rPr>
        <w:t>Documents propres à l’organisme (règlement, procédures).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 w:eastAsia="Arial"/>
        <w:b w:val="0"/>
        <w:i w:val="0"/>
        <w:color w:val="4A5568"/>
        <w:sz w:val="16"/>
      </w:rPr>
      <w:t xml:space="preserve">Modèle de cahier des charges de site web · NovaHoster · réutilisation libre · page </w:t>
    </w:r>
    <w:r>
      <w:rPr>
        <w:rFonts w:ascii="Arial" w:hAnsi="Arial" w:eastAsia="Arial"/>
        <w:b w:val="0"/>
        <w:i w:val="0"/>
        <w:color w:val="4A5568"/>
        <w:sz w:val="16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eastAsia="Arial"/>
      <w:b/>
      <w:bCs/>
      <w:color w:val="B41724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eastAsia="Arial"/>
      <w:b/>
      <w:bCs/>
      <w:color w:val="1F2A3C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eastAsia="Arial"/>
      <w:color w:val="1F2A3C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hyperlink" Target="https://www.novahoster.tn/blog/cahier-des-charges-site-web-model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0</Words>
  <Characters>0</Characters>
  <Application>NovaHoster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Modèle de cahier des charges de site web</dc:title>
  <dc:subject>Création ou refonte d’un site web : modèle à remplir</dc:subject>
  <dc:creator>NovaHoster</dc:creator>
  <cp:keywords>cahier des charges, site web, modèle, Tunisie</cp:keywords>
  <dc:description>Modèle indicatif, réutilisation libre. https://www.novahoster.tn/blog/cahier-des-charges-site-web-modele/</dc:description>
  <cp:lastModifiedBy>NovaHoster</cp:lastModifiedBy>
  <cp:revision>1</cp:revision>
  <dcterms:created xsi:type="dcterms:W3CDTF">2026-11-08T08:00:00Z</dcterms:created>
  <dcterms:modified xsi:type="dcterms:W3CDTF">2026-11-08T08:00:00Z</dcterms:modified>
  <cp:category>Modèle</cp:category>
  <cp:lastPrinted>2026-11-08T08:00:00Z</cp:lastPrinted>
  <dc:identifier/>
  <dc:language>fr-FR</dc:language>
  <cp:contentStatus/>
  <cp:version/>
</cp:coreProperties>
</file>